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607D" w14:textId="77777777" w:rsidR="003347D1" w:rsidRDefault="003347D1" w:rsidP="00B65D3E">
      <w:pPr>
        <w:pStyle w:val="NoSpacing"/>
        <w:spacing w:line="360" w:lineRule="auto"/>
        <w:rPr>
          <w:rFonts w:ascii="Century Gothic" w:hAnsi="Century Gothic"/>
          <w:b/>
          <w:bCs/>
          <w:sz w:val="24"/>
          <w:szCs w:val="24"/>
          <w:u w:val="single"/>
          <w:lang w:val="el-GR"/>
        </w:rPr>
      </w:pPr>
    </w:p>
    <w:p w14:paraId="18E4B036" w14:textId="77777777" w:rsidR="00D413B3" w:rsidRDefault="00D413B3" w:rsidP="00B65D3E">
      <w:pPr>
        <w:pStyle w:val="NoSpacing"/>
        <w:spacing w:line="360" w:lineRule="auto"/>
        <w:rPr>
          <w:rFonts w:ascii="Century Gothic" w:hAnsi="Century Gothic"/>
          <w:b/>
          <w:bCs/>
          <w:sz w:val="24"/>
          <w:szCs w:val="24"/>
          <w:u w:val="single"/>
          <w:lang w:val="el-GR"/>
        </w:rPr>
      </w:pPr>
    </w:p>
    <w:p w14:paraId="5ABA9FF7" w14:textId="77777777" w:rsidR="00414001" w:rsidRDefault="00414001" w:rsidP="00B65D3E">
      <w:pPr>
        <w:pStyle w:val="NoSpacing"/>
        <w:spacing w:line="360" w:lineRule="auto"/>
        <w:rPr>
          <w:rFonts w:ascii="Century Gothic" w:hAnsi="Century Gothic"/>
          <w:b/>
          <w:bCs/>
          <w:sz w:val="24"/>
          <w:szCs w:val="24"/>
          <w:u w:val="single"/>
          <w:lang w:val="el-GR"/>
        </w:rPr>
      </w:pPr>
    </w:p>
    <w:p w14:paraId="3B51A562" w14:textId="45102EEA" w:rsidR="005B11D7" w:rsidRPr="00AE6396" w:rsidRDefault="000B64BD" w:rsidP="00B65D3E">
      <w:pPr>
        <w:pStyle w:val="NoSpacing"/>
        <w:spacing w:line="360" w:lineRule="auto"/>
        <w:rPr>
          <w:rFonts w:ascii="Century Gothic" w:hAnsi="Century Gothic"/>
          <w:i/>
          <w:iCs/>
          <w:sz w:val="24"/>
          <w:szCs w:val="24"/>
          <w:lang w:val="el-GR"/>
        </w:rPr>
      </w:pPr>
      <w:r w:rsidRPr="00E67D75">
        <w:rPr>
          <w:rFonts w:ascii="Century Gothic" w:hAnsi="Century Gothic"/>
          <w:i/>
          <w:iCs/>
          <w:sz w:val="24"/>
          <w:szCs w:val="24"/>
          <w:lang w:val="el-GR"/>
        </w:rPr>
        <w:t>18</w:t>
      </w:r>
      <w:r w:rsidR="005B11D7" w:rsidRPr="00AE6396">
        <w:rPr>
          <w:rFonts w:ascii="Century Gothic" w:hAnsi="Century Gothic"/>
          <w:i/>
          <w:iCs/>
          <w:sz w:val="24"/>
          <w:szCs w:val="24"/>
          <w:lang w:val="el-GR"/>
        </w:rPr>
        <w:t xml:space="preserve"> Νοεμβρίου 202</w:t>
      </w:r>
      <w:r w:rsidRPr="00E67D75">
        <w:rPr>
          <w:rFonts w:ascii="Century Gothic" w:hAnsi="Century Gothic"/>
          <w:i/>
          <w:iCs/>
          <w:sz w:val="24"/>
          <w:szCs w:val="24"/>
          <w:lang w:val="el-GR"/>
        </w:rPr>
        <w:t>5</w:t>
      </w:r>
      <w:r w:rsidR="005B11D7" w:rsidRPr="00AE6396">
        <w:rPr>
          <w:rFonts w:ascii="Century Gothic" w:hAnsi="Century Gothic"/>
          <w:i/>
          <w:iCs/>
          <w:sz w:val="24"/>
          <w:szCs w:val="24"/>
          <w:lang w:val="el-GR"/>
        </w:rPr>
        <w:t xml:space="preserve"> </w:t>
      </w:r>
    </w:p>
    <w:p w14:paraId="1318F9C7" w14:textId="2AB5BBE0" w:rsidR="00AE6396" w:rsidRPr="00AE6396" w:rsidRDefault="00AE6396" w:rsidP="00B65D3E">
      <w:pPr>
        <w:pStyle w:val="NoSpacing"/>
        <w:spacing w:line="360" w:lineRule="auto"/>
        <w:rPr>
          <w:rFonts w:ascii="Century Gothic" w:hAnsi="Century Gothic"/>
          <w:i/>
          <w:iCs/>
          <w:sz w:val="24"/>
          <w:szCs w:val="24"/>
          <w:lang w:val="el-GR"/>
        </w:rPr>
      </w:pPr>
      <w:r w:rsidRPr="00AE6396">
        <w:rPr>
          <w:rFonts w:ascii="Century Gothic" w:hAnsi="Century Gothic"/>
          <w:i/>
          <w:iCs/>
          <w:sz w:val="24"/>
          <w:szCs w:val="24"/>
          <w:lang w:val="el-GR"/>
        </w:rPr>
        <w:t xml:space="preserve">Δελτίο τύπου </w:t>
      </w:r>
    </w:p>
    <w:p w14:paraId="29123DB6" w14:textId="77777777" w:rsidR="00B65D3E" w:rsidRDefault="00B65D3E" w:rsidP="00B65D3E">
      <w:pPr>
        <w:pStyle w:val="NoSpacing"/>
        <w:spacing w:line="360" w:lineRule="auto"/>
        <w:rPr>
          <w:rFonts w:ascii="Century Gothic" w:hAnsi="Century Gothic"/>
          <w:b/>
          <w:bCs/>
          <w:sz w:val="24"/>
          <w:szCs w:val="24"/>
          <w:u w:val="single"/>
          <w:lang w:val="el-GR"/>
        </w:rPr>
      </w:pPr>
    </w:p>
    <w:p w14:paraId="5AE8AA8C" w14:textId="4D019606" w:rsidR="00A04F52" w:rsidRPr="000B64BD" w:rsidRDefault="00A04F52" w:rsidP="00A04F52">
      <w:pPr>
        <w:pStyle w:val="NoSpacing"/>
        <w:spacing w:line="360" w:lineRule="auto"/>
        <w:jc w:val="center"/>
        <w:rPr>
          <w:rFonts w:ascii="Century Gothic" w:hAnsi="Century Gothic"/>
          <w:b/>
          <w:bCs/>
          <w:sz w:val="24"/>
          <w:szCs w:val="24"/>
          <w:u w:val="single"/>
          <w:lang w:val="el-GR"/>
        </w:rPr>
      </w:pPr>
      <w:bookmarkStart w:id="0" w:name="_Hlk119919605"/>
      <w:r w:rsidRPr="00A04F52">
        <w:rPr>
          <w:rFonts w:ascii="Century Gothic" w:hAnsi="Century Gothic"/>
          <w:b/>
          <w:bCs/>
          <w:sz w:val="24"/>
          <w:szCs w:val="24"/>
          <w:u w:val="single"/>
          <w:lang w:val="el-GR"/>
        </w:rPr>
        <w:t>Ετήσια Γενική Συνέλευση</w:t>
      </w:r>
      <w:r w:rsidRPr="00A04F52"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  <w:lang w:val="el-CY"/>
        </w:rPr>
        <w:t xml:space="preserve"> </w:t>
      </w:r>
      <w:proofErr w:type="spellStart"/>
      <w:r w:rsidRPr="00A04F52">
        <w:rPr>
          <w:rFonts w:ascii="Century Gothic" w:hAnsi="Century Gothic"/>
          <w:b/>
          <w:bCs/>
          <w:sz w:val="24"/>
          <w:szCs w:val="24"/>
          <w:u w:val="single"/>
          <w:lang w:val="el-CY"/>
        </w:rPr>
        <w:t>Εμ</w:t>
      </w:r>
      <w:proofErr w:type="spellEnd"/>
      <w:r w:rsidRPr="00A04F52">
        <w:rPr>
          <w:rFonts w:ascii="Century Gothic" w:hAnsi="Century Gothic"/>
          <w:b/>
          <w:bCs/>
          <w:sz w:val="24"/>
          <w:szCs w:val="24"/>
          <w:u w:val="single"/>
          <w:lang w:val="el-CY"/>
        </w:rPr>
        <w:t>πορικού και Βιομηχανικού Επ</w:t>
      </w:r>
      <w:proofErr w:type="spellStart"/>
      <w:r w:rsidRPr="00A04F52">
        <w:rPr>
          <w:rFonts w:ascii="Century Gothic" w:hAnsi="Century Gothic"/>
          <w:b/>
          <w:bCs/>
          <w:sz w:val="24"/>
          <w:szCs w:val="24"/>
          <w:u w:val="single"/>
          <w:lang w:val="el-CY"/>
        </w:rPr>
        <w:t>ιμελητηρίου</w:t>
      </w:r>
      <w:proofErr w:type="spellEnd"/>
      <w:r w:rsidRPr="00A04F52">
        <w:rPr>
          <w:rFonts w:ascii="Century Gothic" w:hAnsi="Century Gothic"/>
          <w:b/>
          <w:bCs/>
          <w:sz w:val="24"/>
          <w:szCs w:val="24"/>
          <w:u w:val="single"/>
          <w:lang w:val="el-CY"/>
        </w:rPr>
        <w:t xml:space="preserve"> Αμμοχώστου </w:t>
      </w:r>
      <w:r w:rsidRPr="00A04F52">
        <w:rPr>
          <w:rFonts w:ascii="Century Gothic" w:hAnsi="Century Gothic"/>
          <w:b/>
          <w:bCs/>
          <w:sz w:val="24"/>
          <w:szCs w:val="24"/>
          <w:u w:val="single"/>
          <w:lang w:val="el-GR"/>
        </w:rPr>
        <w:t xml:space="preserve"> 202</w:t>
      </w:r>
      <w:r w:rsidR="000B64BD" w:rsidRPr="000B64BD">
        <w:rPr>
          <w:rFonts w:ascii="Century Gothic" w:hAnsi="Century Gothic"/>
          <w:b/>
          <w:bCs/>
          <w:sz w:val="24"/>
          <w:szCs w:val="24"/>
          <w:u w:val="single"/>
          <w:lang w:val="el-GR"/>
        </w:rPr>
        <w:t>5</w:t>
      </w:r>
    </w:p>
    <w:p w14:paraId="7ACA24B3" w14:textId="77777777" w:rsidR="006A3F8F" w:rsidRPr="00517965" w:rsidRDefault="006A3F8F" w:rsidP="006A3F8F">
      <w:p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bookmarkStart w:id="1" w:name="_Hlk183596768"/>
      <w:bookmarkEnd w:id="0"/>
    </w:p>
    <w:bookmarkEnd w:id="1"/>
    <w:p w14:paraId="5159743F" w14:textId="77777777" w:rsidR="007A7E61" w:rsidRDefault="007A7E61" w:rsidP="00B50179">
      <w:p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7A7E61">
        <w:rPr>
          <w:rFonts w:ascii="Century Gothic" w:hAnsi="Century Gothic"/>
          <w:lang w:val="el-GR"/>
        </w:rPr>
        <w:t>Πραγματοποιήθηκε την Τρίτη 18 Νοεμβρίου 2025, στο ξενοδοχείο NissiBlu Beach Resort στην Αγία Νάπα, η Ετήσια Γενική Συνέλευση του Εμπορικού και Βιομηχανικού Επιμελητηρίου Αμμοχώστου (ΕΒΕΑ).</w:t>
      </w:r>
    </w:p>
    <w:p w14:paraId="37BBC021" w14:textId="1B1303CF" w:rsidR="007A7E61" w:rsidRDefault="007A7E61" w:rsidP="00B50179">
      <w:p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7A7E61">
        <w:rPr>
          <w:rFonts w:ascii="Century Gothic" w:hAnsi="Century Gothic"/>
          <w:lang w:val="el-GR"/>
        </w:rPr>
        <w:t xml:space="preserve">Χαιρετισμούς απηύθυναν ο Υπουργός Ενέργειας, Εμπορίου και Βιομηχανίας κ. Γιώργος Παπαναστασίου, ο Πρόεδρος του ΚΕΒΕ κ. Σταύρος Σταύρου και ο Δημοτικός Σύμβουλος Αμμοχώστου κ. Ντίνος </w:t>
      </w:r>
      <w:proofErr w:type="spellStart"/>
      <w:r w:rsidRPr="007A7E61">
        <w:rPr>
          <w:rFonts w:ascii="Century Gothic" w:hAnsi="Century Gothic"/>
          <w:lang w:val="el-GR"/>
        </w:rPr>
        <w:t>Τουμαζής</w:t>
      </w:r>
      <w:proofErr w:type="spellEnd"/>
      <w:r w:rsidRPr="007A7E61">
        <w:rPr>
          <w:rFonts w:ascii="Century Gothic" w:hAnsi="Century Gothic"/>
          <w:lang w:val="el-GR"/>
        </w:rPr>
        <w:t>, εκπροσωπώντας τον Δήμαρχο Αμμοχώστου Δρ. Σίμο Ιωάννου. Η Συνέλευση ολοκληρώθηκε με την ομιλία του Προέδρου του ΕΒΕΑ κ. Χαράλαμπου Μανώλη.</w:t>
      </w:r>
    </w:p>
    <w:p w14:paraId="037F235B" w14:textId="486118FD" w:rsidR="007A7E61" w:rsidRDefault="007A7E61" w:rsidP="00B50179">
      <w:p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7A7E61">
        <w:rPr>
          <w:rFonts w:ascii="Century Gothic" w:hAnsi="Century Gothic"/>
          <w:lang w:val="el-GR"/>
        </w:rPr>
        <w:t xml:space="preserve">Ο </w:t>
      </w:r>
      <w:r w:rsidR="00F775BE">
        <w:rPr>
          <w:rFonts w:ascii="Century Gothic" w:hAnsi="Century Gothic"/>
          <w:lang w:val="el-GR"/>
        </w:rPr>
        <w:t xml:space="preserve">κύριος </w:t>
      </w:r>
      <w:r w:rsidRPr="007A7E61">
        <w:rPr>
          <w:rFonts w:ascii="Century Gothic" w:hAnsi="Century Gothic"/>
          <w:lang w:val="el-GR"/>
        </w:rPr>
        <w:t>Υπουργός αναφέρθηκε σ</w:t>
      </w:r>
      <w:r w:rsidR="004750AC">
        <w:rPr>
          <w:rFonts w:ascii="Century Gothic" w:hAnsi="Century Gothic"/>
          <w:lang w:val="el-GR"/>
        </w:rPr>
        <w:t>την ουσιαστική</w:t>
      </w:r>
      <w:r w:rsidRPr="007A7E61">
        <w:rPr>
          <w:rFonts w:ascii="Century Gothic" w:hAnsi="Century Gothic"/>
          <w:lang w:val="el-GR"/>
        </w:rPr>
        <w:t xml:space="preserve"> συνεργασία με το ΕΒΕΑ και στις κυβερνητικές πρωτοβουλίες για μείωση του ενεργειακού κόστους</w:t>
      </w:r>
      <w:r w:rsidR="004750AC">
        <w:rPr>
          <w:rFonts w:ascii="Century Gothic" w:hAnsi="Century Gothic"/>
          <w:lang w:val="el-GR"/>
        </w:rPr>
        <w:t xml:space="preserve"> περιλαμβανομένων των δράσεων για προώθηση των ΑΠΕ καθώς και στις πρωτοβουλίες για στήριξη των επιχειρήσεων. </w:t>
      </w:r>
      <w:r w:rsidRPr="007A7E61">
        <w:rPr>
          <w:rFonts w:ascii="Century Gothic" w:hAnsi="Century Gothic"/>
          <w:lang w:val="el-GR"/>
        </w:rPr>
        <w:t>Παρουσίασε</w:t>
      </w:r>
      <w:r w:rsidR="00FB7D89">
        <w:rPr>
          <w:rFonts w:ascii="Century Gothic" w:hAnsi="Century Gothic"/>
          <w:lang w:val="el-GR"/>
        </w:rPr>
        <w:t xml:space="preserve"> επίσης </w:t>
      </w:r>
      <w:r w:rsidRPr="007A7E61">
        <w:rPr>
          <w:rFonts w:ascii="Century Gothic" w:hAnsi="Century Gothic"/>
          <w:lang w:val="el-GR"/>
        </w:rPr>
        <w:t xml:space="preserve">τα </w:t>
      </w:r>
      <w:r w:rsidR="00FB7D89">
        <w:rPr>
          <w:rFonts w:ascii="Century Gothic" w:hAnsi="Century Gothic"/>
          <w:lang w:val="el-GR"/>
        </w:rPr>
        <w:t xml:space="preserve">μέχρι στιγμής εντυπωσιακά </w:t>
      </w:r>
      <w:r w:rsidRPr="007A7E61">
        <w:rPr>
          <w:rFonts w:ascii="Century Gothic" w:hAnsi="Century Gothic"/>
          <w:lang w:val="el-GR"/>
        </w:rPr>
        <w:t>αποτελέσματα της φετινής τουριστικής σεζόν στην ελεύθερη Αμμόχωστο, με έσοδα €2,5 δισ.</w:t>
      </w:r>
      <w:r w:rsidR="00FB7D89">
        <w:rPr>
          <w:rFonts w:ascii="Century Gothic" w:hAnsi="Century Gothic"/>
          <w:lang w:val="el-GR"/>
        </w:rPr>
        <w:t xml:space="preserve"> ως τον Αύγουστο</w:t>
      </w:r>
      <w:r w:rsidR="00EC5F89">
        <w:rPr>
          <w:rFonts w:ascii="Century Gothic" w:hAnsi="Century Gothic"/>
          <w:lang w:val="el-GR"/>
        </w:rPr>
        <w:t xml:space="preserve"> και </w:t>
      </w:r>
      <w:r w:rsidRPr="007A7E61">
        <w:rPr>
          <w:rFonts w:ascii="Century Gothic" w:hAnsi="Century Gothic"/>
          <w:lang w:val="el-GR"/>
        </w:rPr>
        <w:t>αύξηση αφίξεων κατά 10,3%</w:t>
      </w:r>
      <w:r w:rsidR="00FB7D89">
        <w:rPr>
          <w:rFonts w:ascii="Century Gothic" w:hAnsi="Century Gothic"/>
          <w:lang w:val="el-GR"/>
        </w:rPr>
        <w:t xml:space="preserve"> συγκριτικά με πέρσι</w:t>
      </w:r>
      <w:r w:rsidRPr="007A7E61">
        <w:rPr>
          <w:rFonts w:ascii="Century Gothic" w:hAnsi="Century Gothic"/>
          <w:lang w:val="el-GR"/>
        </w:rPr>
        <w:t>,</w:t>
      </w:r>
      <w:r w:rsidR="00FB7D89">
        <w:rPr>
          <w:rFonts w:ascii="Century Gothic" w:hAnsi="Century Gothic"/>
          <w:lang w:val="el-GR"/>
        </w:rPr>
        <w:t xml:space="preserve"> με </w:t>
      </w:r>
      <w:r w:rsidR="00D81BC5">
        <w:rPr>
          <w:rFonts w:ascii="Century Gothic" w:hAnsi="Century Gothic"/>
          <w:lang w:val="el-GR"/>
        </w:rPr>
        <w:t xml:space="preserve">πέραν των </w:t>
      </w:r>
      <w:r w:rsidRPr="007A7E61">
        <w:rPr>
          <w:rFonts w:ascii="Century Gothic" w:hAnsi="Century Gothic"/>
          <w:lang w:val="el-GR"/>
        </w:rPr>
        <w:t>3,6 εκατομμ</w:t>
      </w:r>
      <w:r w:rsidR="00D81BC5">
        <w:rPr>
          <w:rFonts w:ascii="Century Gothic" w:hAnsi="Century Gothic"/>
          <w:lang w:val="el-GR"/>
        </w:rPr>
        <w:t>υρίων επισκεπτών το</w:t>
      </w:r>
      <w:r w:rsidRPr="007A7E61">
        <w:rPr>
          <w:rFonts w:ascii="Century Gothic" w:hAnsi="Century Gothic"/>
          <w:lang w:val="el-GR"/>
        </w:rPr>
        <w:t xml:space="preserve"> πρώτο </w:t>
      </w:r>
      <w:r w:rsidR="00D81BC5" w:rsidRPr="007A7E61">
        <w:rPr>
          <w:rFonts w:ascii="Century Gothic" w:hAnsi="Century Gothic"/>
          <w:lang w:val="el-GR"/>
        </w:rPr>
        <w:t>ενιάμηνο</w:t>
      </w:r>
      <w:r w:rsidR="00FB7D89">
        <w:rPr>
          <w:rFonts w:ascii="Century Gothic" w:hAnsi="Century Gothic"/>
          <w:lang w:val="el-GR"/>
        </w:rPr>
        <w:t xml:space="preserve"> του 2025.</w:t>
      </w:r>
    </w:p>
    <w:p w14:paraId="43B1DA08" w14:textId="021537D3" w:rsidR="007A7E61" w:rsidRDefault="007A7E61" w:rsidP="00B50179">
      <w:p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7A7E61">
        <w:rPr>
          <w:rFonts w:ascii="Century Gothic" w:hAnsi="Century Gothic"/>
          <w:lang w:val="el-GR"/>
        </w:rPr>
        <w:t>Ο κ. Σταύρου τόνισε την ανθεκτικότητα και την αναπτυξιακή δυναμική της περιοχής</w:t>
      </w:r>
      <w:r w:rsidR="008A3E55">
        <w:rPr>
          <w:rFonts w:ascii="Century Gothic" w:hAnsi="Century Gothic"/>
          <w:lang w:val="el-GR"/>
        </w:rPr>
        <w:t xml:space="preserve">, σημειώνοντας ότι με σωστό σχεδιασμό και στήριξη, μπορεί να μετατραπεί σε πρότυπο βιώσιμης περιφερειακής ανάπτυξης, μεταξύ άλλων, μέσω πράσινων μεταφορών, </w:t>
      </w:r>
      <w:proofErr w:type="spellStart"/>
      <w:r w:rsidR="008A3E55">
        <w:rPr>
          <w:rFonts w:ascii="Century Gothic" w:hAnsi="Century Gothic"/>
          <w:lang w:val="el-GR"/>
        </w:rPr>
        <w:t>αγροδιατροφικής</w:t>
      </w:r>
      <w:proofErr w:type="spellEnd"/>
      <w:r w:rsidR="008A3E55">
        <w:rPr>
          <w:rFonts w:ascii="Century Gothic" w:hAnsi="Century Gothic"/>
          <w:lang w:val="el-GR"/>
        </w:rPr>
        <w:t xml:space="preserve"> καινοτομίας και τουρισμού τεσσάρων εποχών</w:t>
      </w:r>
      <w:r w:rsidRPr="007A7E61">
        <w:rPr>
          <w:rFonts w:ascii="Century Gothic" w:hAnsi="Century Gothic"/>
          <w:lang w:val="el-GR"/>
        </w:rPr>
        <w:t xml:space="preserve">. Ο κ. </w:t>
      </w:r>
      <w:proofErr w:type="spellStart"/>
      <w:r w:rsidRPr="007A7E61">
        <w:rPr>
          <w:rFonts w:ascii="Century Gothic" w:hAnsi="Century Gothic"/>
          <w:lang w:val="el-GR"/>
        </w:rPr>
        <w:t>Τουμαζής</w:t>
      </w:r>
      <w:proofErr w:type="spellEnd"/>
      <w:r w:rsidRPr="007A7E61">
        <w:rPr>
          <w:rFonts w:ascii="Century Gothic" w:hAnsi="Century Gothic"/>
          <w:lang w:val="el-GR"/>
        </w:rPr>
        <w:t>, από την πλευρά του</w:t>
      </w:r>
      <w:r w:rsidR="005505D2">
        <w:rPr>
          <w:rFonts w:ascii="Century Gothic" w:hAnsi="Century Gothic"/>
          <w:lang w:val="el-GR"/>
        </w:rPr>
        <w:t xml:space="preserve"> </w:t>
      </w:r>
      <w:r w:rsidRPr="007A7E61">
        <w:rPr>
          <w:rFonts w:ascii="Century Gothic" w:hAnsi="Century Gothic"/>
          <w:lang w:val="el-GR"/>
        </w:rPr>
        <w:t>αναφέρθηκε στη δημιουργικότητα των Αμμοχωστιανών επιχειρηματιών</w:t>
      </w:r>
      <w:r w:rsidR="005505D2">
        <w:rPr>
          <w:rFonts w:ascii="Century Gothic" w:hAnsi="Century Gothic"/>
          <w:lang w:val="el-GR"/>
        </w:rPr>
        <w:t xml:space="preserve"> </w:t>
      </w:r>
      <w:r w:rsidRPr="007A7E61">
        <w:rPr>
          <w:rFonts w:ascii="Century Gothic" w:hAnsi="Century Gothic"/>
          <w:lang w:val="el-GR"/>
        </w:rPr>
        <w:t xml:space="preserve">παρά τις συνθήκες της προσφυγιάς, εκφράζοντας την ευχή η επόμενη </w:t>
      </w:r>
      <w:r w:rsidR="005505D2">
        <w:rPr>
          <w:rFonts w:ascii="Century Gothic" w:hAnsi="Century Gothic"/>
          <w:lang w:val="el-GR"/>
        </w:rPr>
        <w:t xml:space="preserve">Γενική </w:t>
      </w:r>
      <w:r w:rsidRPr="007A7E61">
        <w:rPr>
          <w:rFonts w:ascii="Century Gothic" w:hAnsi="Century Gothic"/>
          <w:lang w:val="el-GR"/>
        </w:rPr>
        <w:t xml:space="preserve">Συνέλευση </w:t>
      </w:r>
      <w:r w:rsidR="005505D2">
        <w:rPr>
          <w:rFonts w:ascii="Century Gothic" w:hAnsi="Century Gothic"/>
          <w:lang w:val="el-GR"/>
        </w:rPr>
        <w:t xml:space="preserve">του ΕΒΕΑ </w:t>
      </w:r>
      <w:r w:rsidRPr="007A7E61">
        <w:rPr>
          <w:rFonts w:ascii="Century Gothic" w:hAnsi="Century Gothic"/>
          <w:lang w:val="el-GR"/>
        </w:rPr>
        <w:t>να πραγματοποιηθεί</w:t>
      </w:r>
      <w:r w:rsidR="005505D2">
        <w:rPr>
          <w:rFonts w:ascii="Century Gothic" w:hAnsi="Century Gothic"/>
          <w:lang w:val="el-GR"/>
        </w:rPr>
        <w:t xml:space="preserve"> στην πόλη της Αμμοχώστου.</w:t>
      </w:r>
    </w:p>
    <w:p w14:paraId="3B36B88B" w14:textId="4E92DF2B" w:rsidR="00D413B3" w:rsidRPr="00D413B3" w:rsidRDefault="00B50179" w:rsidP="00D413B3">
      <w:p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B50179">
        <w:rPr>
          <w:rFonts w:ascii="Century Gothic" w:hAnsi="Century Gothic"/>
          <w:lang w:val="el-GR"/>
        </w:rPr>
        <w:t>Στην ομιλία του</w:t>
      </w:r>
      <w:r w:rsidR="00036731">
        <w:rPr>
          <w:rFonts w:ascii="Century Gothic" w:hAnsi="Century Gothic"/>
          <w:lang w:val="el-GR"/>
        </w:rPr>
        <w:t xml:space="preserve"> </w:t>
      </w:r>
      <w:r w:rsidRPr="00B50179">
        <w:rPr>
          <w:rFonts w:ascii="Century Gothic" w:hAnsi="Century Gothic"/>
          <w:lang w:val="el-GR"/>
        </w:rPr>
        <w:t>ο Πρόεδρος του Επιμελητηρίου Αμμοχώστου</w:t>
      </w:r>
      <w:r w:rsidR="00036731">
        <w:rPr>
          <w:rFonts w:ascii="Century Gothic" w:hAnsi="Century Gothic"/>
          <w:lang w:val="el-GR"/>
        </w:rPr>
        <w:t xml:space="preserve"> </w:t>
      </w:r>
      <w:r w:rsidRPr="00B50179">
        <w:rPr>
          <w:rFonts w:ascii="Century Gothic" w:hAnsi="Century Gothic"/>
          <w:lang w:val="el-GR"/>
        </w:rPr>
        <w:t>επ</w:t>
      </w:r>
      <w:r w:rsidR="00036731">
        <w:rPr>
          <w:rFonts w:ascii="Century Gothic" w:hAnsi="Century Gothic"/>
          <w:lang w:val="el-GR"/>
        </w:rPr>
        <w:t>ε</w:t>
      </w:r>
      <w:r w:rsidRPr="00B50179">
        <w:rPr>
          <w:rFonts w:ascii="Century Gothic" w:hAnsi="Century Gothic"/>
          <w:lang w:val="el-GR"/>
        </w:rPr>
        <w:t xml:space="preserve">σήμανε ότι, </w:t>
      </w:r>
      <w:bookmarkStart w:id="2" w:name="_Hlk214433950"/>
      <w:r w:rsidRPr="00B50179">
        <w:rPr>
          <w:rFonts w:ascii="Century Gothic" w:hAnsi="Century Gothic"/>
          <w:lang w:val="el-GR"/>
        </w:rPr>
        <w:t xml:space="preserve">51 χρόνια μετά την τουρκική εισβολή, η Αμμόχωστος παραμένει βίαια αποκομμένη από τους νόμιμους κατοίκους </w:t>
      </w:r>
      <w:r w:rsidR="00036731">
        <w:rPr>
          <w:rFonts w:ascii="Century Gothic" w:hAnsi="Century Gothic"/>
          <w:lang w:val="el-GR"/>
        </w:rPr>
        <w:t>της και υπογράμμισε</w:t>
      </w:r>
      <w:r w:rsidRPr="00B50179">
        <w:rPr>
          <w:rFonts w:ascii="Century Gothic" w:hAnsi="Century Gothic"/>
          <w:lang w:val="el-GR"/>
        </w:rPr>
        <w:t xml:space="preserve"> ότι η επιστροφή της περίκλειστης πόλης υπό διοίκηση ΟΗΕ αποτελεί μη </w:t>
      </w:r>
      <w:r w:rsidRPr="00B50179">
        <w:rPr>
          <w:rFonts w:ascii="Century Gothic" w:hAnsi="Century Gothic"/>
          <w:lang w:val="el-GR"/>
        </w:rPr>
        <w:lastRenderedPageBreak/>
        <w:t>διαπραγματεύσιμο δικαίωμα και το ύψιστο Μέτρο Οικοδόμησης Εμπιστοσύνης.</w:t>
      </w:r>
      <w:bookmarkEnd w:id="2"/>
      <w:r w:rsidR="00036731">
        <w:rPr>
          <w:rFonts w:ascii="Century Gothic" w:hAnsi="Century Gothic"/>
          <w:lang w:val="el-GR"/>
        </w:rPr>
        <w:t xml:space="preserve"> </w:t>
      </w:r>
      <w:r w:rsidR="00D264D6">
        <w:rPr>
          <w:rFonts w:ascii="Century Gothic" w:hAnsi="Century Gothic"/>
          <w:lang w:val="el-GR"/>
        </w:rPr>
        <w:t>Α</w:t>
      </w:r>
      <w:r w:rsidRPr="00B50179">
        <w:rPr>
          <w:rFonts w:ascii="Century Gothic" w:hAnsi="Century Gothic"/>
          <w:lang w:val="el-GR"/>
        </w:rPr>
        <w:t>νέλυσε</w:t>
      </w:r>
      <w:r w:rsidR="0025272D">
        <w:rPr>
          <w:rFonts w:ascii="Century Gothic" w:hAnsi="Century Gothic"/>
          <w:lang w:val="el-GR"/>
        </w:rPr>
        <w:t xml:space="preserve"> τις σημερινές </w:t>
      </w:r>
      <w:r w:rsidRPr="00B50179">
        <w:rPr>
          <w:rFonts w:ascii="Century Gothic" w:hAnsi="Century Gothic"/>
          <w:lang w:val="el-GR"/>
        </w:rPr>
        <w:t xml:space="preserve">προκλήσεις </w:t>
      </w:r>
      <w:r w:rsidR="0025272D">
        <w:rPr>
          <w:rFonts w:ascii="Century Gothic" w:hAnsi="Century Gothic"/>
          <w:lang w:val="el-GR"/>
        </w:rPr>
        <w:t xml:space="preserve">του </w:t>
      </w:r>
      <w:proofErr w:type="spellStart"/>
      <w:r w:rsidR="0025272D">
        <w:rPr>
          <w:rFonts w:ascii="Century Gothic" w:hAnsi="Century Gothic"/>
          <w:lang w:val="el-GR"/>
        </w:rPr>
        <w:t>επιχειρείν</w:t>
      </w:r>
      <w:proofErr w:type="spellEnd"/>
      <w:r w:rsidR="0025272D">
        <w:rPr>
          <w:rFonts w:ascii="Century Gothic" w:hAnsi="Century Gothic"/>
          <w:lang w:val="el-GR"/>
        </w:rPr>
        <w:t xml:space="preserve"> </w:t>
      </w:r>
      <w:r w:rsidRPr="00B50179">
        <w:rPr>
          <w:rFonts w:ascii="Century Gothic" w:hAnsi="Century Gothic"/>
          <w:lang w:val="el-GR"/>
        </w:rPr>
        <w:t xml:space="preserve">όπως το υψηλό κόστος ενέργειας και δανεισμού, </w:t>
      </w:r>
      <w:r w:rsidR="00036731">
        <w:rPr>
          <w:rFonts w:ascii="Century Gothic" w:hAnsi="Century Gothic"/>
          <w:lang w:val="el-GR"/>
        </w:rPr>
        <w:t>ο</w:t>
      </w:r>
      <w:r w:rsidRPr="00B50179">
        <w:rPr>
          <w:rFonts w:ascii="Century Gothic" w:hAnsi="Century Gothic"/>
          <w:lang w:val="el-GR"/>
        </w:rPr>
        <w:t xml:space="preserve"> πληθωρισμό</w:t>
      </w:r>
      <w:r w:rsidR="00036731">
        <w:rPr>
          <w:rFonts w:ascii="Century Gothic" w:hAnsi="Century Gothic"/>
          <w:lang w:val="el-GR"/>
        </w:rPr>
        <w:t>ς</w:t>
      </w:r>
      <w:r w:rsidRPr="00B50179">
        <w:rPr>
          <w:rFonts w:ascii="Century Gothic" w:hAnsi="Century Gothic"/>
          <w:lang w:val="el-GR"/>
        </w:rPr>
        <w:t xml:space="preserve"> και </w:t>
      </w:r>
      <w:r w:rsidR="00036731">
        <w:rPr>
          <w:rFonts w:ascii="Century Gothic" w:hAnsi="Century Gothic"/>
          <w:lang w:val="el-GR"/>
        </w:rPr>
        <w:t>η</w:t>
      </w:r>
      <w:r w:rsidRPr="00B50179">
        <w:rPr>
          <w:rFonts w:ascii="Century Gothic" w:hAnsi="Century Gothic"/>
          <w:lang w:val="el-GR"/>
        </w:rPr>
        <w:t xml:space="preserve"> έλλειψη εργατικού δυναμικού</w:t>
      </w:r>
      <w:r w:rsidR="00D264D6">
        <w:rPr>
          <w:rFonts w:ascii="Century Gothic" w:hAnsi="Century Gothic"/>
          <w:lang w:val="el-GR"/>
        </w:rPr>
        <w:t xml:space="preserve"> και εισηγή</w:t>
      </w:r>
      <w:r w:rsidR="0025272D">
        <w:rPr>
          <w:rFonts w:ascii="Century Gothic" w:hAnsi="Century Gothic"/>
          <w:lang w:val="el-GR"/>
        </w:rPr>
        <w:t xml:space="preserve">θηκε μέτρα </w:t>
      </w:r>
      <w:r w:rsidR="00D264D6">
        <w:rPr>
          <w:rFonts w:ascii="Century Gothic" w:hAnsi="Century Gothic"/>
          <w:lang w:val="el-GR"/>
        </w:rPr>
        <w:t xml:space="preserve">για </w:t>
      </w:r>
      <w:r w:rsidRPr="00B50179">
        <w:rPr>
          <w:rFonts w:ascii="Century Gothic" w:hAnsi="Century Gothic"/>
          <w:lang w:val="el-GR"/>
        </w:rPr>
        <w:t xml:space="preserve">στήριξη των </w:t>
      </w:r>
      <w:proofErr w:type="spellStart"/>
      <w:r w:rsidRPr="00B50179">
        <w:rPr>
          <w:rFonts w:ascii="Century Gothic" w:hAnsi="Century Gothic"/>
          <w:lang w:val="el-GR"/>
        </w:rPr>
        <w:t>ΜμΕ</w:t>
      </w:r>
      <w:proofErr w:type="spellEnd"/>
      <w:r w:rsidRPr="00B50179">
        <w:rPr>
          <w:rFonts w:ascii="Century Gothic" w:hAnsi="Century Gothic"/>
          <w:lang w:val="el-GR"/>
        </w:rPr>
        <w:t>,</w:t>
      </w:r>
      <w:r w:rsidR="00036731">
        <w:rPr>
          <w:rFonts w:ascii="Century Gothic" w:hAnsi="Century Gothic"/>
          <w:lang w:val="el-GR"/>
        </w:rPr>
        <w:t xml:space="preserve"> ανάμεσα σε άλλα, </w:t>
      </w:r>
      <w:r w:rsidRPr="00036731">
        <w:rPr>
          <w:rFonts w:ascii="Century Gothic" w:hAnsi="Century Gothic"/>
          <w:color w:val="000000" w:themeColor="text1"/>
          <w:lang w:val="el-GR"/>
        </w:rPr>
        <w:t>φορολογικά και χρηματοδοτικά κίνητρα</w:t>
      </w:r>
      <w:r w:rsidR="00036731" w:rsidRPr="00036731">
        <w:rPr>
          <w:rFonts w:ascii="Century Gothic" w:hAnsi="Century Gothic"/>
          <w:color w:val="000000" w:themeColor="text1"/>
          <w:lang w:val="el-GR"/>
        </w:rPr>
        <w:t>.</w:t>
      </w:r>
      <w:r w:rsidR="00D264D6">
        <w:rPr>
          <w:rFonts w:ascii="Century Gothic" w:hAnsi="Century Gothic"/>
          <w:color w:val="000000" w:themeColor="text1"/>
          <w:lang w:val="el-GR"/>
        </w:rPr>
        <w:t xml:space="preserve"> </w:t>
      </w:r>
      <w:r w:rsidR="00D264D6" w:rsidRPr="007A7E61">
        <w:rPr>
          <w:rFonts w:ascii="Century Gothic" w:hAnsi="Century Gothic"/>
          <w:lang w:val="el-GR"/>
        </w:rPr>
        <w:t xml:space="preserve">Ειδική μνεία </w:t>
      </w:r>
      <w:r w:rsidR="00D264D6">
        <w:rPr>
          <w:rFonts w:ascii="Century Gothic" w:hAnsi="Century Gothic"/>
          <w:lang w:val="el-GR"/>
        </w:rPr>
        <w:t>έκανε</w:t>
      </w:r>
      <w:r w:rsidR="00D264D6" w:rsidRPr="007A7E61">
        <w:rPr>
          <w:rFonts w:ascii="Century Gothic" w:hAnsi="Century Gothic"/>
          <w:lang w:val="el-GR"/>
        </w:rPr>
        <w:t xml:space="preserve"> στον τουρισμό της επαρχίας ως βασικό</w:t>
      </w:r>
      <w:r w:rsidR="00D264D6">
        <w:rPr>
          <w:rFonts w:ascii="Century Gothic" w:hAnsi="Century Gothic"/>
          <w:lang w:val="el-GR"/>
        </w:rPr>
        <w:t>ς</w:t>
      </w:r>
      <w:r w:rsidR="00D264D6" w:rsidRPr="007A7E61">
        <w:rPr>
          <w:rFonts w:ascii="Century Gothic" w:hAnsi="Century Gothic"/>
          <w:lang w:val="el-GR"/>
        </w:rPr>
        <w:t xml:space="preserve"> πυλώνα</w:t>
      </w:r>
      <w:r w:rsidR="00D264D6">
        <w:rPr>
          <w:rFonts w:ascii="Century Gothic" w:hAnsi="Century Gothic"/>
          <w:lang w:val="el-GR"/>
        </w:rPr>
        <w:t>ς</w:t>
      </w:r>
      <w:r w:rsidR="00D264D6" w:rsidRPr="007A7E61">
        <w:rPr>
          <w:rFonts w:ascii="Century Gothic" w:hAnsi="Century Gothic"/>
          <w:lang w:val="el-GR"/>
        </w:rPr>
        <w:t xml:space="preserve"> της κυπριακής οικονομίας και στην ανάγκη άρσης πολεοδομικών στρεβλώσεων που επηρεάζουν την ανάπτυξη της περιοχής.</w:t>
      </w:r>
      <w:r w:rsidR="00D264D6">
        <w:rPr>
          <w:rFonts w:ascii="Century Gothic" w:hAnsi="Century Gothic"/>
          <w:lang w:val="el-GR"/>
        </w:rPr>
        <w:t xml:space="preserve"> </w:t>
      </w:r>
      <w:r w:rsidR="00036731">
        <w:rPr>
          <w:rFonts w:ascii="Century Gothic" w:hAnsi="Century Gothic"/>
          <w:lang w:val="el-GR"/>
        </w:rPr>
        <w:t xml:space="preserve">Γνωστοποίησε τα έργα υποδομής της ελεύθερης Επαρχίας τα οποία αναμένεται να μπουν σε τροχιά ανάπτυξης βάσει </w:t>
      </w:r>
      <w:r w:rsidRPr="00B50179">
        <w:rPr>
          <w:rFonts w:ascii="Century Gothic" w:hAnsi="Century Gothic"/>
          <w:lang w:val="el-GR"/>
        </w:rPr>
        <w:t>εξαγγελιών του Προέδρου της Δημοκρατίας</w:t>
      </w:r>
      <w:r w:rsidR="00036731">
        <w:rPr>
          <w:rFonts w:ascii="Century Gothic" w:hAnsi="Century Gothic"/>
          <w:lang w:val="el-GR"/>
        </w:rPr>
        <w:t xml:space="preserve"> τον Φεβρουάριο του 2025</w:t>
      </w:r>
      <w:r w:rsidR="00D264D6">
        <w:rPr>
          <w:rFonts w:ascii="Century Gothic" w:hAnsi="Century Gothic"/>
          <w:lang w:val="el-GR"/>
        </w:rPr>
        <w:t xml:space="preserve"> και </w:t>
      </w:r>
      <w:r w:rsidRPr="00B50179">
        <w:rPr>
          <w:rFonts w:ascii="Century Gothic" w:hAnsi="Century Gothic"/>
          <w:lang w:val="el-GR"/>
        </w:rPr>
        <w:t xml:space="preserve">παρουσίασε τη δράση του Επιμελητηρίου κατά τη διάρκεια της </w:t>
      </w:r>
      <w:r w:rsidRPr="002645D3">
        <w:rPr>
          <w:rFonts w:ascii="Century Gothic" w:hAnsi="Century Gothic"/>
          <w:color w:val="000000" w:themeColor="text1"/>
          <w:lang w:val="el-GR"/>
        </w:rPr>
        <w:t>προηγούμενης χρονιάς, αναδεικνύοντας το</w:t>
      </w:r>
      <w:r w:rsidR="002645D3" w:rsidRPr="002645D3">
        <w:rPr>
          <w:rFonts w:ascii="Century Gothic" w:hAnsi="Century Gothic"/>
          <w:color w:val="000000" w:themeColor="text1"/>
          <w:lang w:val="el-GR"/>
        </w:rPr>
        <w:t xml:space="preserve">ν </w:t>
      </w:r>
      <w:r w:rsidRPr="002645D3">
        <w:rPr>
          <w:rFonts w:ascii="Century Gothic" w:hAnsi="Century Gothic"/>
          <w:color w:val="000000" w:themeColor="text1"/>
          <w:lang w:val="el-GR"/>
        </w:rPr>
        <w:t xml:space="preserve">ρόλο </w:t>
      </w:r>
      <w:r w:rsidR="007A7158">
        <w:rPr>
          <w:rFonts w:ascii="Century Gothic" w:hAnsi="Century Gothic"/>
          <w:color w:val="000000" w:themeColor="text1"/>
          <w:lang w:val="el-GR"/>
        </w:rPr>
        <w:t xml:space="preserve">του </w:t>
      </w:r>
      <w:r w:rsidRPr="002645D3">
        <w:rPr>
          <w:rFonts w:ascii="Century Gothic" w:hAnsi="Century Gothic"/>
          <w:color w:val="000000" w:themeColor="text1"/>
          <w:lang w:val="el-GR"/>
        </w:rPr>
        <w:t xml:space="preserve">μέσα από συνεργασίες, </w:t>
      </w:r>
      <w:r w:rsidR="00D264D6" w:rsidRPr="002645D3">
        <w:rPr>
          <w:rFonts w:ascii="Century Gothic" w:hAnsi="Century Gothic"/>
          <w:color w:val="000000" w:themeColor="text1"/>
          <w:lang w:val="el-GR"/>
        </w:rPr>
        <w:t xml:space="preserve">διαβουλεύσεις, επαφές κτλ. αλλά και </w:t>
      </w:r>
      <w:r w:rsidRPr="002645D3">
        <w:rPr>
          <w:rFonts w:ascii="Century Gothic" w:hAnsi="Century Gothic"/>
          <w:color w:val="000000" w:themeColor="text1"/>
          <w:lang w:val="el-GR"/>
        </w:rPr>
        <w:t>στήριξη κοινωνικών ζητημάτων.</w:t>
      </w:r>
      <w:r w:rsidR="00D264D6" w:rsidRPr="002645D3">
        <w:rPr>
          <w:rFonts w:ascii="Century Gothic" w:hAnsi="Century Gothic"/>
          <w:color w:val="000000" w:themeColor="text1"/>
          <w:lang w:val="el-GR"/>
        </w:rPr>
        <w:t xml:space="preserve"> </w:t>
      </w:r>
      <w:r w:rsidR="00D413B3" w:rsidRPr="002645D3">
        <w:rPr>
          <w:rFonts w:ascii="Century Gothic" w:hAnsi="Century Gothic"/>
          <w:color w:val="000000" w:themeColor="text1"/>
          <w:lang w:val="el-GR"/>
        </w:rPr>
        <w:t>Ο Πρόεδρος του ΕΒΕΑ επανέλαβε τη διαχρονική προσήλωση του Επιμελητηρίου στο να:</w:t>
      </w:r>
    </w:p>
    <w:p w14:paraId="3D52855D" w14:textId="5C6B4B6F" w:rsidR="00D413B3" w:rsidRPr="00D413B3" w:rsidRDefault="00D413B3" w:rsidP="00D413B3">
      <w:pPr>
        <w:numPr>
          <w:ilvl w:val="0"/>
          <w:numId w:val="15"/>
        </w:num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D413B3">
        <w:rPr>
          <w:rFonts w:ascii="Century Gothic" w:hAnsi="Century Gothic"/>
          <w:lang w:val="el-GR"/>
        </w:rPr>
        <w:t>Αγωνίζεται για την επιστροφή στη Βασιλεύουσα και σε όλα τα κατεχόμενα εδάφη</w:t>
      </w:r>
      <w:r w:rsidR="002645D3">
        <w:rPr>
          <w:rFonts w:ascii="Century Gothic" w:hAnsi="Century Gothic"/>
          <w:lang w:val="el-GR"/>
        </w:rPr>
        <w:t xml:space="preserve"> και για την</w:t>
      </w:r>
      <w:r w:rsidR="002645D3" w:rsidRPr="00D413B3">
        <w:rPr>
          <w:rFonts w:ascii="Century Gothic" w:hAnsi="Century Gothic"/>
          <w:lang w:val="el-GR"/>
        </w:rPr>
        <w:t xml:space="preserve"> αποκατάσταση των δικαιωμάτων</w:t>
      </w:r>
      <w:r w:rsidR="002645D3">
        <w:rPr>
          <w:rFonts w:ascii="Century Gothic" w:hAnsi="Century Gothic"/>
          <w:lang w:val="el-GR"/>
        </w:rPr>
        <w:t xml:space="preserve"> όλων των προσφύγων</w:t>
      </w:r>
    </w:p>
    <w:p w14:paraId="21D30499" w14:textId="1B39B5FF" w:rsidR="00D413B3" w:rsidRPr="00D413B3" w:rsidRDefault="00D413B3" w:rsidP="00D413B3">
      <w:pPr>
        <w:numPr>
          <w:ilvl w:val="0"/>
          <w:numId w:val="15"/>
        </w:num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D413B3">
        <w:rPr>
          <w:rFonts w:ascii="Century Gothic" w:hAnsi="Century Gothic"/>
          <w:lang w:val="el-GR"/>
        </w:rPr>
        <w:t>Διεκδικεί πολιτικές που ενισχύουν την επιχειρηματικότητα και την ανάπτυξη</w:t>
      </w:r>
    </w:p>
    <w:p w14:paraId="730F346F" w14:textId="543D0A58" w:rsidR="00D413B3" w:rsidRPr="00D413B3" w:rsidRDefault="00D413B3" w:rsidP="00B50179">
      <w:pPr>
        <w:numPr>
          <w:ilvl w:val="0"/>
          <w:numId w:val="15"/>
        </w:num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D413B3">
        <w:rPr>
          <w:rFonts w:ascii="Century Gothic" w:hAnsi="Century Gothic"/>
          <w:lang w:val="el-GR"/>
        </w:rPr>
        <w:t xml:space="preserve">Βρίσκεται παρόν όπου διαμορφώνονται αποφάσεις που επηρεάζουν το μέλλον της </w:t>
      </w:r>
      <w:r w:rsidR="002645D3">
        <w:rPr>
          <w:rFonts w:ascii="Century Gothic" w:hAnsi="Century Gothic"/>
          <w:lang w:val="el-GR"/>
        </w:rPr>
        <w:t>Ε</w:t>
      </w:r>
      <w:r w:rsidRPr="00D413B3">
        <w:rPr>
          <w:rFonts w:ascii="Century Gothic" w:hAnsi="Century Gothic"/>
          <w:lang w:val="el-GR"/>
        </w:rPr>
        <w:t>παρχίας Αμμοχώστου.</w:t>
      </w:r>
    </w:p>
    <w:p w14:paraId="3C832ADA" w14:textId="54CDA404" w:rsidR="002645D3" w:rsidRPr="007A7E61" w:rsidRDefault="00B50179" w:rsidP="002645D3">
      <w:p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  <w:r w:rsidRPr="00B50179">
        <w:rPr>
          <w:rFonts w:ascii="Century Gothic" w:hAnsi="Century Gothic"/>
          <w:lang w:val="el-GR"/>
        </w:rPr>
        <w:t>Τη Συνέλευση τίμησαν με την παρουσία τους, μεταξύ άλλων</w:t>
      </w:r>
      <w:r w:rsidR="00D413B3">
        <w:rPr>
          <w:rFonts w:ascii="Century Gothic" w:hAnsi="Century Gothic"/>
          <w:lang w:val="el-GR"/>
        </w:rPr>
        <w:t xml:space="preserve"> </w:t>
      </w:r>
      <w:r w:rsidRPr="00B50179">
        <w:rPr>
          <w:rFonts w:ascii="Century Gothic" w:hAnsi="Century Gothic"/>
          <w:lang w:val="el-GR"/>
        </w:rPr>
        <w:t>βουλευτές της Αμμοχώστου, Δήμαρχοι και Αντιδήμαρχοι των Δημοτικών Διαμερισμάτων της Επαρχίας, κρατικοί αξιωματούχοι, εκπρόσωποι τοπικών φορέων, καθώς και επιχειρηματίες – μέλη, φίλοι και συνεργάτες του ΕΒΕΑ, αναδεικνύοντας τη σημασία της εκδήλωσης για την επιχειρηματική και κοινωνική ζωή</w:t>
      </w:r>
      <w:r w:rsidR="007A7158">
        <w:rPr>
          <w:rFonts w:ascii="Century Gothic" w:hAnsi="Century Gothic"/>
          <w:lang w:val="el-GR"/>
        </w:rPr>
        <w:t xml:space="preserve">. </w:t>
      </w:r>
    </w:p>
    <w:p w14:paraId="23942E14" w14:textId="44C2A4B1" w:rsidR="007A7E61" w:rsidRPr="007A7E61" w:rsidRDefault="007A7E61" w:rsidP="007A7E61">
      <w:pPr>
        <w:tabs>
          <w:tab w:val="left" w:pos="5844"/>
        </w:tabs>
        <w:spacing w:line="360" w:lineRule="auto"/>
        <w:jc w:val="both"/>
        <w:rPr>
          <w:rFonts w:ascii="Century Gothic" w:hAnsi="Century Gothic"/>
          <w:lang w:val="el-GR"/>
        </w:rPr>
      </w:pPr>
    </w:p>
    <w:sectPr w:rsidR="007A7E61" w:rsidRPr="007A7E61" w:rsidSect="009D43A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64" w:right="964" w:bottom="964" w:left="96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B67C" w14:textId="77777777" w:rsidR="00B50F78" w:rsidRDefault="00B50F78" w:rsidP="00BA59FF">
      <w:pPr>
        <w:spacing w:after="0" w:line="240" w:lineRule="auto"/>
      </w:pPr>
      <w:r>
        <w:separator/>
      </w:r>
    </w:p>
  </w:endnote>
  <w:endnote w:type="continuationSeparator" w:id="0">
    <w:p w14:paraId="7DCEA6A4" w14:textId="77777777" w:rsidR="00B50F78" w:rsidRDefault="00B50F78" w:rsidP="00BA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287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color w:val="0070C0"/>
        <w:sz w:val="16"/>
        <w:szCs w:val="16"/>
      </w:rPr>
    </w:sdtEndPr>
    <w:sdtContent>
      <w:p w14:paraId="5558B6BE" w14:textId="67DFEEC1" w:rsidR="009D43AF" w:rsidRPr="007871BD" w:rsidRDefault="009D43AF">
        <w:pPr>
          <w:pStyle w:val="Footer"/>
          <w:rPr>
            <w:rFonts w:ascii="Times New Roman" w:hAnsi="Times New Roman" w:cs="Times New Roman"/>
            <w:color w:val="0070C0"/>
            <w:sz w:val="16"/>
            <w:szCs w:val="16"/>
          </w:rPr>
        </w:pPr>
        <w:r w:rsidRPr="007871BD">
          <w:rPr>
            <w:rFonts w:ascii="Times New Roman" w:hAnsi="Times New Roman" w:cs="Times New Roman"/>
            <w:color w:val="0070C0"/>
            <w:sz w:val="16"/>
            <w:szCs w:val="16"/>
          </w:rPr>
          <w:fldChar w:fldCharType="begin"/>
        </w:r>
        <w:r w:rsidRPr="007871BD">
          <w:rPr>
            <w:rFonts w:ascii="Times New Roman" w:hAnsi="Times New Roman" w:cs="Times New Roman"/>
            <w:color w:val="0070C0"/>
            <w:sz w:val="16"/>
            <w:szCs w:val="16"/>
          </w:rPr>
          <w:instrText xml:space="preserve"> PAGE   \* MERGEFORMAT </w:instrText>
        </w:r>
        <w:r w:rsidRPr="007871BD">
          <w:rPr>
            <w:rFonts w:ascii="Times New Roman" w:hAnsi="Times New Roman" w:cs="Times New Roman"/>
            <w:color w:val="0070C0"/>
            <w:sz w:val="16"/>
            <w:szCs w:val="16"/>
          </w:rPr>
          <w:fldChar w:fldCharType="separate"/>
        </w:r>
        <w:r w:rsidRPr="007871BD">
          <w:rPr>
            <w:rFonts w:ascii="Times New Roman" w:hAnsi="Times New Roman" w:cs="Times New Roman"/>
            <w:noProof/>
            <w:color w:val="0070C0"/>
            <w:sz w:val="16"/>
            <w:szCs w:val="16"/>
          </w:rPr>
          <w:t>2</w:t>
        </w:r>
        <w:r w:rsidRPr="007871BD">
          <w:rPr>
            <w:rFonts w:ascii="Times New Roman" w:hAnsi="Times New Roman" w:cs="Times New Roman"/>
            <w:noProof/>
            <w:color w:val="0070C0"/>
            <w:sz w:val="16"/>
            <w:szCs w:val="16"/>
          </w:rPr>
          <w:fldChar w:fldCharType="end"/>
        </w:r>
      </w:p>
    </w:sdtContent>
  </w:sdt>
  <w:p w14:paraId="2AA00B79" w14:textId="77777777" w:rsidR="009D43AF" w:rsidRDefault="009D4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8E41" w14:textId="77777777" w:rsidR="009D43AF" w:rsidRPr="009D43AF" w:rsidRDefault="009D43AF" w:rsidP="009D43AF">
    <w:pPr>
      <w:pStyle w:val="Footer"/>
      <w:jc w:val="center"/>
      <w:rPr>
        <w:rFonts w:ascii="Times New Roman" w:hAnsi="Times New Roman" w:cs="Times New Roman"/>
        <w:color w:val="0070C0"/>
        <w:sz w:val="16"/>
        <w:szCs w:val="16"/>
        <w:lang w:val="el-GR"/>
      </w:rPr>
    </w:pPr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 xml:space="preserve">Κεντρικά Γραφεία </w:t>
    </w:r>
    <w:proofErr w:type="spellStart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Γλάδστωνος</w:t>
    </w:r>
    <w:proofErr w:type="spellEnd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 xml:space="preserve"> 26 Αμμόχωστος Κλειστά λόγω Τουρκικής Εισβολής</w:t>
    </w:r>
  </w:p>
  <w:p w14:paraId="0325984F" w14:textId="77777777" w:rsidR="009D43AF" w:rsidRPr="009D43AF" w:rsidRDefault="009D43AF" w:rsidP="009D43AF">
    <w:pPr>
      <w:pStyle w:val="Footer"/>
      <w:jc w:val="center"/>
      <w:rPr>
        <w:rFonts w:ascii="Times New Roman" w:hAnsi="Times New Roman" w:cs="Times New Roman"/>
        <w:color w:val="0070C0"/>
        <w:sz w:val="16"/>
        <w:szCs w:val="16"/>
        <w:lang w:val="el-GR"/>
      </w:rPr>
    </w:pPr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 xml:space="preserve">Γραφείο Παραλιμνίου: Λεωφόρος Γεωργίου </w:t>
    </w:r>
    <w:proofErr w:type="spellStart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Γουρουνιά</w:t>
    </w:r>
    <w:proofErr w:type="spellEnd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 xml:space="preserve"> 152, 1ος όροφος, Γραφείο 3, 5281 </w:t>
    </w:r>
    <w:proofErr w:type="spellStart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Παραλίμνι</w:t>
    </w:r>
    <w:proofErr w:type="spellEnd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 xml:space="preserve">, </w:t>
    </w:r>
    <w:proofErr w:type="spellStart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Τηλ</w:t>
    </w:r>
    <w:proofErr w:type="spellEnd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.: +357 23829264 | Φαξ: +357 23829267</w:t>
    </w:r>
  </w:p>
  <w:p w14:paraId="5450D08F" w14:textId="22EE353D" w:rsidR="009D43AF" w:rsidRDefault="009D43AF" w:rsidP="009D43AF">
    <w:pPr>
      <w:pStyle w:val="Footer"/>
      <w:jc w:val="center"/>
      <w:rPr>
        <w:rFonts w:ascii="Times New Roman" w:hAnsi="Times New Roman" w:cs="Times New Roman"/>
        <w:color w:val="0070C0"/>
        <w:sz w:val="16"/>
        <w:szCs w:val="16"/>
        <w:lang w:val="el-GR"/>
      </w:rPr>
    </w:pPr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 xml:space="preserve">Γραφείο Λεμεσού: Αγίου Ανδρέου 339, 2ος όροφος, Γραφείο 201, </w:t>
    </w:r>
    <w:proofErr w:type="spellStart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Τηλ</w:t>
    </w:r>
    <w:proofErr w:type="spellEnd"/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.: +357 25370165 | Φαξ: +357 25370291</w:t>
    </w:r>
  </w:p>
  <w:p w14:paraId="277D2287" w14:textId="37FCE9C0" w:rsidR="000D0BF1" w:rsidRPr="000D0BF1" w:rsidRDefault="000D0BF1" w:rsidP="000D0BF1">
    <w:pPr>
      <w:pStyle w:val="Footer"/>
      <w:jc w:val="center"/>
      <w:rPr>
        <w:rFonts w:ascii="Times New Roman" w:hAnsi="Times New Roman" w:cs="Times New Roman"/>
        <w:color w:val="0070C0"/>
        <w:sz w:val="16"/>
        <w:szCs w:val="16"/>
        <w:lang w:val="el-GR"/>
      </w:rPr>
    </w:pPr>
    <w:r w:rsidRPr="000D0BF1">
      <w:rPr>
        <w:rFonts w:ascii="Times New Roman" w:hAnsi="Times New Roman" w:cs="Times New Roman"/>
        <w:color w:val="0070C0"/>
        <w:sz w:val="16"/>
        <w:szCs w:val="16"/>
        <w:lang w:val="el-GR"/>
      </w:rPr>
      <w:t xml:space="preserve">Γραφείο Πειραιά: Μέγαρο Ε.Β.Ε.Π. (4ος Όροφος), Γεωργίου Κασιμάτη (τέως Λουδοβίκου) 1, Πλατεία </w:t>
    </w:r>
    <w:proofErr w:type="spellStart"/>
    <w:r w:rsidRPr="000D0BF1">
      <w:rPr>
        <w:rFonts w:ascii="Times New Roman" w:hAnsi="Times New Roman" w:cs="Times New Roman"/>
        <w:color w:val="0070C0"/>
        <w:sz w:val="16"/>
        <w:szCs w:val="16"/>
        <w:lang w:val="el-GR"/>
      </w:rPr>
      <w:t>Οδησσού</w:t>
    </w:r>
    <w:proofErr w:type="spellEnd"/>
    <w:r w:rsidRPr="000D0BF1">
      <w:rPr>
        <w:rFonts w:ascii="Times New Roman" w:hAnsi="Times New Roman" w:cs="Times New Roman"/>
        <w:color w:val="0070C0"/>
        <w:sz w:val="16"/>
        <w:szCs w:val="16"/>
        <w:lang w:val="el-GR"/>
      </w:rPr>
      <w:t>, Τ.Κ. 18531, Πειραιάς</w:t>
    </w:r>
  </w:p>
  <w:p w14:paraId="3B5DF131" w14:textId="77777777" w:rsidR="009D43AF" w:rsidRPr="009D43AF" w:rsidRDefault="009D43AF" w:rsidP="009D43AF">
    <w:pPr>
      <w:pStyle w:val="Footer"/>
      <w:jc w:val="center"/>
      <w:rPr>
        <w:rFonts w:ascii="Times New Roman" w:hAnsi="Times New Roman" w:cs="Times New Roman"/>
        <w:color w:val="0070C0"/>
        <w:sz w:val="16"/>
        <w:szCs w:val="16"/>
        <w:lang w:val="el-GR"/>
      </w:rPr>
    </w:pPr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Ταχυδρομική Θυρίδα: 53124, 3300 Λεμεσός</w:t>
    </w:r>
  </w:p>
  <w:p w14:paraId="4A597727" w14:textId="1DFABD38" w:rsidR="00C57559" w:rsidRPr="009D43AF" w:rsidRDefault="009D43AF" w:rsidP="009D43AF">
    <w:pPr>
      <w:pStyle w:val="Footer"/>
      <w:jc w:val="center"/>
      <w:rPr>
        <w:rFonts w:ascii="Times New Roman" w:hAnsi="Times New Roman" w:cs="Times New Roman"/>
        <w:color w:val="0070C0"/>
        <w:sz w:val="16"/>
        <w:szCs w:val="16"/>
        <w:lang w:val="el-GR"/>
      </w:rPr>
    </w:pPr>
    <w:r w:rsidRPr="009D43AF">
      <w:rPr>
        <w:rFonts w:ascii="Times New Roman" w:hAnsi="Times New Roman" w:cs="Times New Roman"/>
        <w:color w:val="0070C0"/>
        <w:sz w:val="16"/>
        <w:szCs w:val="16"/>
        <w:lang w:val="el-GR"/>
      </w:rPr>
      <w:t>E: info@famagustachamber.org.cy | W: www.famagustachamber.org.cy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186D" w14:textId="77777777" w:rsidR="00B50F78" w:rsidRDefault="00B50F78" w:rsidP="00BA59FF">
      <w:pPr>
        <w:spacing w:after="0" w:line="240" w:lineRule="auto"/>
      </w:pPr>
      <w:r>
        <w:separator/>
      </w:r>
    </w:p>
  </w:footnote>
  <w:footnote w:type="continuationSeparator" w:id="0">
    <w:p w14:paraId="5B3ED938" w14:textId="77777777" w:rsidR="00B50F78" w:rsidRDefault="00B50F78" w:rsidP="00BA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C5FD" w14:textId="74BC2DC3" w:rsidR="00BA59FF" w:rsidRDefault="009D43AF" w:rsidP="00BA59FF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5084EE" wp14:editId="7E009E5F">
          <wp:simplePos x="0" y="0"/>
          <wp:positionH relativeFrom="column">
            <wp:posOffset>6177280</wp:posOffset>
          </wp:positionH>
          <wp:positionV relativeFrom="paragraph">
            <wp:posOffset>-215265</wp:posOffset>
          </wp:positionV>
          <wp:extent cx="603250" cy="899795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29FF" w14:textId="17E3373B" w:rsidR="00C57559" w:rsidRDefault="0084529F" w:rsidP="00C57559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88330BB" wp14:editId="61CC4360">
          <wp:simplePos x="0" y="0"/>
          <wp:positionH relativeFrom="column">
            <wp:posOffset>4816475</wp:posOffset>
          </wp:positionH>
          <wp:positionV relativeFrom="paragraph">
            <wp:posOffset>-299085</wp:posOffset>
          </wp:positionV>
          <wp:extent cx="2091055" cy="1101090"/>
          <wp:effectExtent l="0" t="0" r="0" b="0"/>
          <wp:wrapThrough wrapText="bothSides">
            <wp:wrapPolygon edited="0">
              <wp:start x="787" y="1121"/>
              <wp:lineTo x="787" y="11211"/>
              <wp:lineTo x="2558" y="13827"/>
              <wp:lineTo x="4723" y="13827"/>
              <wp:lineTo x="4723" y="15696"/>
              <wp:lineTo x="5903" y="19806"/>
              <wp:lineTo x="7281" y="20927"/>
              <wp:lineTo x="8068" y="20927"/>
              <wp:lineTo x="17907" y="19806"/>
              <wp:lineTo x="21252" y="18311"/>
              <wp:lineTo x="20859" y="11211"/>
              <wp:lineTo x="19875" y="7848"/>
              <wp:lineTo x="9249" y="3363"/>
              <wp:lineTo x="5510" y="1121"/>
              <wp:lineTo x="787" y="1121"/>
            </wp:wrapPolygon>
          </wp:wrapThrough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55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313"/>
    <w:multiLevelType w:val="hybridMultilevel"/>
    <w:tmpl w:val="F06E7098"/>
    <w:lvl w:ilvl="0" w:tplc="F29CF3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38DF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071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0A1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24F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EC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2DC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744E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CF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4B82"/>
    <w:multiLevelType w:val="hybridMultilevel"/>
    <w:tmpl w:val="13DAF396"/>
    <w:lvl w:ilvl="0" w:tplc="6E6E0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2F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2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7C0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48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0A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CA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E4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C9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545BBD"/>
    <w:multiLevelType w:val="hybridMultilevel"/>
    <w:tmpl w:val="54BC0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525D1"/>
    <w:multiLevelType w:val="multilevel"/>
    <w:tmpl w:val="108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F17F4"/>
    <w:multiLevelType w:val="hybridMultilevel"/>
    <w:tmpl w:val="3794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B2F3F"/>
    <w:multiLevelType w:val="multilevel"/>
    <w:tmpl w:val="639E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97882"/>
    <w:multiLevelType w:val="hybridMultilevel"/>
    <w:tmpl w:val="C3B8E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63CBF"/>
    <w:multiLevelType w:val="hybridMultilevel"/>
    <w:tmpl w:val="62BE8F64"/>
    <w:lvl w:ilvl="0" w:tplc="7194A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00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6E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EB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09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09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AF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C8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22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544705"/>
    <w:multiLevelType w:val="hybridMultilevel"/>
    <w:tmpl w:val="ABCC430C"/>
    <w:lvl w:ilvl="0" w:tplc="AC943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A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44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26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0B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A8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D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E1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E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175164"/>
    <w:multiLevelType w:val="multilevel"/>
    <w:tmpl w:val="4A46BB0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7FF7A2F"/>
    <w:multiLevelType w:val="multilevel"/>
    <w:tmpl w:val="4A26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D5F44"/>
    <w:multiLevelType w:val="hybridMultilevel"/>
    <w:tmpl w:val="1682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D332E"/>
    <w:multiLevelType w:val="hybridMultilevel"/>
    <w:tmpl w:val="5EB47F16"/>
    <w:lvl w:ilvl="0" w:tplc="E70C64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FE51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3039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46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FC51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C28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01F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802B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0C46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54DE9"/>
    <w:multiLevelType w:val="hybridMultilevel"/>
    <w:tmpl w:val="4C364D04"/>
    <w:lvl w:ilvl="0" w:tplc="E0829B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EA1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EA62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47F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2E2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D25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ADE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21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C7D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87EB1"/>
    <w:multiLevelType w:val="hybridMultilevel"/>
    <w:tmpl w:val="5936E586"/>
    <w:lvl w:ilvl="0" w:tplc="C3D69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08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8F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364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64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2F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A4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AB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CD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8853073">
    <w:abstractNumId w:val="6"/>
  </w:num>
  <w:num w:numId="2" w16cid:durableId="93671601">
    <w:abstractNumId w:val="4"/>
  </w:num>
  <w:num w:numId="3" w16cid:durableId="724180660">
    <w:abstractNumId w:val="1"/>
  </w:num>
  <w:num w:numId="4" w16cid:durableId="1116557418">
    <w:abstractNumId w:val="7"/>
  </w:num>
  <w:num w:numId="5" w16cid:durableId="529419975">
    <w:abstractNumId w:val="8"/>
  </w:num>
  <w:num w:numId="6" w16cid:durableId="464784075">
    <w:abstractNumId w:val="13"/>
  </w:num>
  <w:num w:numId="7" w16cid:durableId="1638341833">
    <w:abstractNumId w:val="12"/>
  </w:num>
  <w:num w:numId="8" w16cid:durableId="1754156140">
    <w:abstractNumId w:val="14"/>
  </w:num>
  <w:num w:numId="9" w16cid:durableId="390739820">
    <w:abstractNumId w:val="2"/>
  </w:num>
  <w:num w:numId="10" w16cid:durableId="367990030">
    <w:abstractNumId w:val="0"/>
  </w:num>
  <w:num w:numId="11" w16cid:durableId="1564944766">
    <w:abstractNumId w:val="9"/>
  </w:num>
  <w:num w:numId="12" w16cid:durableId="981735531">
    <w:abstractNumId w:val="11"/>
  </w:num>
  <w:num w:numId="13" w16cid:durableId="478426937">
    <w:abstractNumId w:val="5"/>
  </w:num>
  <w:num w:numId="14" w16cid:durableId="906303277">
    <w:abstractNumId w:val="10"/>
  </w:num>
  <w:num w:numId="15" w16cid:durableId="140791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FF"/>
    <w:rsid w:val="000006D3"/>
    <w:rsid w:val="0000318F"/>
    <w:rsid w:val="00005281"/>
    <w:rsid w:val="00005289"/>
    <w:rsid w:val="000060BD"/>
    <w:rsid w:val="00015C6A"/>
    <w:rsid w:val="00025C1C"/>
    <w:rsid w:val="00035190"/>
    <w:rsid w:val="00036731"/>
    <w:rsid w:val="00036B33"/>
    <w:rsid w:val="00043E4D"/>
    <w:rsid w:val="00077EF6"/>
    <w:rsid w:val="00080F74"/>
    <w:rsid w:val="00084356"/>
    <w:rsid w:val="00087B3E"/>
    <w:rsid w:val="000B01DF"/>
    <w:rsid w:val="000B4FF1"/>
    <w:rsid w:val="000B64BD"/>
    <w:rsid w:val="000C26D0"/>
    <w:rsid w:val="000C794A"/>
    <w:rsid w:val="000D0BF1"/>
    <w:rsid w:val="000E119C"/>
    <w:rsid w:val="000F7B3F"/>
    <w:rsid w:val="0010511D"/>
    <w:rsid w:val="00105989"/>
    <w:rsid w:val="001122D8"/>
    <w:rsid w:val="00116039"/>
    <w:rsid w:val="00135224"/>
    <w:rsid w:val="00135431"/>
    <w:rsid w:val="00154FF7"/>
    <w:rsid w:val="00164DBA"/>
    <w:rsid w:val="00173C4A"/>
    <w:rsid w:val="001821D6"/>
    <w:rsid w:val="00192BAA"/>
    <w:rsid w:val="0019383D"/>
    <w:rsid w:val="001950E6"/>
    <w:rsid w:val="001A6EF0"/>
    <w:rsid w:val="001B1340"/>
    <w:rsid w:val="001C56A1"/>
    <w:rsid w:val="001D349B"/>
    <w:rsid w:val="001D40AD"/>
    <w:rsid w:val="001F465A"/>
    <w:rsid w:val="002058EC"/>
    <w:rsid w:val="00205B6C"/>
    <w:rsid w:val="002110C7"/>
    <w:rsid w:val="00213811"/>
    <w:rsid w:val="00234447"/>
    <w:rsid w:val="00251051"/>
    <w:rsid w:val="0025272D"/>
    <w:rsid w:val="002533CB"/>
    <w:rsid w:val="00260A5C"/>
    <w:rsid w:val="002645D3"/>
    <w:rsid w:val="00281C80"/>
    <w:rsid w:val="00286815"/>
    <w:rsid w:val="00297463"/>
    <w:rsid w:val="002A3176"/>
    <w:rsid w:val="002A3506"/>
    <w:rsid w:val="002A61DE"/>
    <w:rsid w:val="002A63EA"/>
    <w:rsid w:val="002B4367"/>
    <w:rsid w:val="002B678D"/>
    <w:rsid w:val="002D3BC8"/>
    <w:rsid w:val="002D7238"/>
    <w:rsid w:val="00303ED7"/>
    <w:rsid w:val="003059E6"/>
    <w:rsid w:val="0031516A"/>
    <w:rsid w:val="003229D3"/>
    <w:rsid w:val="003347D1"/>
    <w:rsid w:val="00335D55"/>
    <w:rsid w:val="00353818"/>
    <w:rsid w:val="003560F3"/>
    <w:rsid w:val="003611CA"/>
    <w:rsid w:val="0037531A"/>
    <w:rsid w:val="00380860"/>
    <w:rsid w:val="00394B0F"/>
    <w:rsid w:val="003B1E7B"/>
    <w:rsid w:val="003D1208"/>
    <w:rsid w:val="003D511C"/>
    <w:rsid w:val="003E779E"/>
    <w:rsid w:val="003F7E6F"/>
    <w:rsid w:val="00414001"/>
    <w:rsid w:val="00417568"/>
    <w:rsid w:val="00444882"/>
    <w:rsid w:val="0046464C"/>
    <w:rsid w:val="004739C7"/>
    <w:rsid w:val="004750AC"/>
    <w:rsid w:val="004876AA"/>
    <w:rsid w:val="004A7391"/>
    <w:rsid w:val="004C5F2C"/>
    <w:rsid w:val="00501044"/>
    <w:rsid w:val="00507F28"/>
    <w:rsid w:val="00513775"/>
    <w:rsid w:val="00517965"/>
    <w:rsid w:val="00522AF1"/>
    <w:rsid w:val="005505D2"/>
    <w:rsid w:val="0057520D"/>
    <w:rsid w:val="005A1631"/>
    <w:rsid w:val="005A272D"/>
    <w:rsid w:val="005A7391"/>
    <w:rsid w:val="005B0961"/>
    <w:rsid w:val="005B11D7"/>
    <w:rsid w:val="005B3AC9"/>
    <w:rsid w:val="005B3B36"/>
    <w:rsid w:val="005C30FA"/>
    <w:rsid w:val="005D037A"/>
    <w:rsid w:val="005D0F3E"/>
    <w:rsid w:val="005D3293"/>
    <w:rsid w:val="005F6320"/>
    <w:rsid w:val="00612A92"/>
    <w:rsid w:val="006175B9"/>
    <w:rsid w:val="00637F79"/>
    <w:rsid w:val="00651FB2"/>
    <w:rsid w:val="00660C61"/>
    <w:rsid w:val="00663B51"/>
    <w:rsid w:val="00664878"/>
    <w:rsid w:val="006659F5"/>
    <w:rsid w:val="00680F9C"/>
    <w:rsid w:val="00683813"/>
    <w:rsid w:val="006A0BD6"/>
    <w:rsid w:val="006A3F8F"/>
    <w:rsid w:val="006B6B48"/>
    <w:rsid w:val="006B7C9A"/>
    <w:rsid w:val="006C0559"/>
    <w:rsid w:val="006C4D02"/>
    <w:rsid w:val="006D3E27"/>
    <w:rsid w:val="006D6698"/>
    <w:rsid w:val="006E2024"/>
    <w:rsid w:val="007033A4"/>
    <w:rsid w:val="007204AC"/>
    <w:rsid w:val="007343BE"/>
    <w:rsid w:val="007436D2"/>
    <w:rsid w:val="00743BAB"/>
    <w:rsid w:val="0076735E"/>
    <w:rsid w:val="00767E0F"/>
    <w:rsid w:val="00773EF2"/>
    <w:rsid w:val="007871BD"/>
    <w:rsid w:val="0079611A"/>
    <w:rsid w:val="007A40C7"/>
    <w:rsid w:val="007A7158"/>
    <w:rsid w:val="007A7E61"/>
    <w:rsid w:val="007C4A19"/>
    <w:rsid w:val="007C4FBF"/>
    <w:rsid w:val="007C5A23"/>
    <w:rsid w:val="007D36ED"/>
    <w:rsid w:val="007E6DB8"/>
    <w:rsid w:val="007E6F35"/>
    <w:rsid w:val="00812022"/>
    <w:rsid w:val="00817C4B"/>
    <w:rsid w:val="008205A9"/>
    <w:rsid w:val="00843A64"/>
    <w:rsid w:val="0084529F"/>
    <w:rsid w:val="0085360F"/>
    <w:rsid w:val="00854CF7"/>
    <w:rsid w:val="008557F4"/>
    <w:rsid w:val="00862883"/>
    <w:rsid w:val="00866C17"/>
    <w:rsid w:val="008678ED"/>
    <w:rsid w:val="00875AAD"/>
    <w:rsid w:val="008A3E55"/>
    <w:rsid w:val="008B0320"/>
    <w:rsid w:val="008B66F1"/>
    <w:rsid w:val="008D4172"/>
    <w:rsid w:val="008E66F7"/>
    <w:rsid w:val="008F011C"/>
    <w:rsid w:val="008F0D5B"/>
    <w:rsid w:val="0090720F"/>
    <w:rsid w:val="00914F3B"/>
    <w:rsid w:val="009328C4"/>
    <w:rsid w:val="009422C4"/>
    <w:rsid w:val="009439FE"/>
    <w:rsid w:val="00943BA1"/>
    <w:rsid w:val="0094440D"/>
    <w:rsid w:val="0094506D"/>
    <w:rsid w:val="0094590D"/>
    <w:rsid w:val="00956066"/>
    <w:rsid w:val="00975EA3"/>
    <w:rsid w:val="00985DC3"/>
    <w:rsid w:val="00987D67"/>
    <w:rsid w:val="00990DEA"/>
    <w:rsid w:val="00992F2B"/>
    <w:rsid w:val="0099758C"/>
    <w:rsid w:val="009B11FC"/>
    <w:rsid w:val="009B39EC"/>
    <w:rsid w:val="009B6E75"/>
    <w:rsid w:val="009D43AF"/>
    <w:rsid w:val="00A01ED6"/>
    <w:rsid w:val="00A04F52"/>
    <w:rsid w:val="00A116D9"/>
    <w:rsid w:val="00A3277B"/>
    <w:rsid w:val="00A55252"/>
    <w:rsid w:val="00A60F3C"/>
    <w:rsid w:val="00A657F0"/>
    <w:rsid w:val="00A70DC1"/>
    <w:rsid w:val="00A7218B"/>
    <w:rsid w:val="00A75246"/>
    <w:rsid w:val="00AA2422"/>
    <w:rsid w:val="00AA48C0"/>
    <w:rsid w:val="00AA784A"/>
    <w:rsid w:val="00AB5439"/>
    <w:rsid w:val="00AC218D"/>
    <w:rsid w:val="00AC3F9F"/>
    <w:rsid w:val="00AD5511"/>
    <w:rsid w:val="00AD581D"/>
    <w:rsid w:val="00AE28F1"/>
    <w:rsid w:val="00AE6396"/>
    <w:rsid w:val="00AF0A6C"/>
    <w:rsid w:val="00AF2B2B"/>
    <w:rsid w:val="00B04032"/>
    <w:rsid w:val="00B04EB5"/>
    <w:rsid w:val="00B050BB"/>
    <w:rsid w:val="00B50179"/>
    <w:rsid w:val="00B5089E"/>
    <w:rsid w:val="00B50F78"/>
    <w:rsid w:val="00B570CF"/>
    <w:rsid w:val="00B61160"/>
    <w:rsid w:val="00B65D3E"/>
    <w:rsid w:val="00B70A8C"/>
    <w:rsid w:val="00B72A15"/>
    <w:rsid w:val="00B8377D"/>
    <w:rsid w:val="00B87C5D"/>
    <w:rsid w:val="00B903BC"/>
    <w:rsid w:val="00B96438"/>
    <w:rsid w:val="00BA59FF"/>
    <w:rsid w:val="00BC5C10"/>
    <w:rsid w:val="00BC7AF0"/>
    <w:rsid w:val="00BD2BED"/>
    <w:rsid w:val="00BD4948"/>
    <w:rsid w:val="00BD6A26"/>
    <w:rsid w:val="00BE2795"/>
    <w:rsid w:val="00C36976"/>
    <w:rsid w:val="00C37360"/>
    <w:rsid w:val="00C378D9"/>
    <w:rsid w:val="00C40AD5"/>
    <w:rsid w:val="00C477D1"/>
    <w:rsid w:val="00C51E43"/>
    <w:rsid w:val="00C54797"/>
    <w:rsid w:val="00C57559"/>
    <w:rsid w:val="00C71E20"/>
    <w:rsid w:val="00C72C61"/>
    <w:rsid w:val="00C84FC2"/>
    <w:rsid w:val="00C92982"/>
    <w:rsid w:val="00C9715D"/>
    <w:rsid w:val="00C97AC0"/>
    <w:rsid w:val="00CC7E13"/>
    <w:rsid w:val="00CD2AD2"/>
    <w:rsid w:val="00CD5B60"/>
    <w:rsid w:val="00CD5BE1"/>
    <w:rsid w:val="00CD69EF"/>
    <w:rsid w:val="00CF0209"/>
    <w:rsid w:val="00D10429"/>
    <w:rsid w:val="00D26436"/>
    <w:rsid w:val="00D264D6"/>
    <w:rsid w:val="00D413B3"/>
    <w:rsid w:val="00D42CFB"/>
    <w:rsid w:val="00D50F10"/>
    <w:rsid w:val="00D608C1"/>
    <w:rsid w:val="00D67274"/>
    <w:rsid w:val="00D67E6D"/>
    <w:rsid w:val="00D709F5"/>
    <w:rsid w:val="00D7767A"/>
    <w:rsid w:val="00D81BC5"/>
    <w:rsid w:val="00D81CAB"/>
    <w:rsid w:val="00D82188"/>
    <w:rsid w:val="00D87A12"/>
    <w:rsid w:val="00DA77F3"/>
    <w:rsid w:val="00DE4C38"/>
    <w:rsid w:val="00DF3784"/>
    <w:rsid w:val="00E033F6"/>
    <w:rsid w:val="00E07358"/>
    <w:rsid w:val="00E10F65"/>
    <w:rsid w:val="00E11825"/>
    <w:rsid w:val="00E133D2"/>
    <w:rsid w:val="00E13790"/>
    <w:rsid w:val="00E150B9"/>
    <w:rsid w:val="00E31434"/>
    <w:rsid w:val="00E35C47"/>
    <w:rsid w:val="00E465D1"/>
    <w:rsid w:val="00E4728B"/>
    <w:rsid w:val="00E54991"/>
    <w:rsid w:val="00E613CF"/>
    <w:rsid w:val="00E67D75"/>
    <w:rsid w:val="00E810CC"/>
    <w:rsid w:val="00E867B0"/>
    <w:rsid w:val="00E87596"/>
    <w:rsid w:val="00E94320"/>
    <w:rsid w:val="00E95AC2"/>
    <w:rsid w:val="00EA048B"/>
    <w:rsid w:val="00EA69A2"/>
    <w:rsid w:val="00EB057D"/>
    <w:rsid w:val="00EB2FB3"/>
    <w:rsid w:val="00EB4D2D"/>
    <w:rsid w:val="00EB6833"/>
    <w:rsid w:val="00EC5F89"/>
    <w:rsid w:val="00EC79AE"/>
    <w:rsid w:val="00ED4192"/>
    <w:rsid w:val="00EF0793"/>
    <w:rsid w:val="00EF13AB"/>
    <w:rsid w:val="00EF7ED4"/>
    <w:rsid w:val="00F05B52"/>
    <w:rsid w:val="00F0698F"/>
    <w:rsid w:val="00F1440D"/>
    <w:rsid w:val="00F2733D"/>
    <w:rsid w:val="00F34027"/>
    <w:rsid w:val="00F52A8E"/>
    <w:rsid w:val="00F55AC1"/>
    <w:rsid w:val="00F66229"/>
    <w:rsid w:val="00F67129"/>
    <w:rsid w:val="00F67323"/>
    <w:rsid w:val="00F7759C"/>
    <w:rsid w:val="00F775BE"/>
    <w:rsid w:val="00F906CD"/>
    <w:rsid w:val="00F94681"/>
    <w:rsid w:val="00FB2605"/>
    <w:rsid w:val="00FB3A2C"/>
    <w:rsid w:val="00FB7D89"/>
    <w:rsid w:val="00FC5731"/>
    <w:rsid w:val="00FD1738"/>
    <w:rsid w:val="00FD55E7"/>
    <w:rsid w:val="00FD7D1F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E217D"/>
  <w15:chartTrackingRefBased/>
  <w15:docId w15:val="{FE4BF3A2-FBED-4A63-B889-5FF0962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8B"/>
    <w:rPr>
      <w:lang w:val="el-CY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9FF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A59FF"/>
  </w:style>
  <w:style w:type="paragraph" w:styleId="Footer">
    <w:name w:val="footer"/>
    <w:basedOn w:val="Normal"/>
    <w:link w:val="FooterChar"/>
    <w:uiPriority w:val="99"/>
    <w:unhideWhenUsed/>
    <w:rsid w:val="00BA59FF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59FF"/>
  </w:style>
  <w:style w:type="paragraph" w:styleId="NoSpacing">
    <w:name w:val="No Spacing"/>
    <w:link w:val="NoSpacingChar"/>
    <w:uiPriority w:val="1"/>
    <w:qFormat/>
    <w:rsid w:val="00C5755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57559"/>
  </w:style>
  <w:style w:type="character" w:styleId="Hyperlink">
    <w:name w:val="Hyperlink"/>
    <w:basedOn w:val="DefaultParagraphFont"/>
    <w:uiPriority w:val="99"/>
    <w:unhideWhenUsed/>
    <w:rsid w:val="00FF1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20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11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CY"/>
    </w:rPr>
  </w:style>
  <w:style w:type="paragraph" w:styleId="ListParagraph">
    <w:name w:val="List Paragraph"/>
    <w:basedOn w:val="Normal"/>
    <w:uiPriority w:val="34"/>
    <w:qFormat/>
    <w:rsid w:val="00E150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5C47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C6A"/>
    <w:rPr>
      <w:rFonts w:asciiTheme="majorHAnsi" w:eastAsiaTheme="majorEastAsia" w:hAnsiTheme="majorHAnsi" w:cstheme="majorBidi"/>
      <w:i/>
      <w:iCs/>
      <w:color w:val="2F5496" w:themeColor="accent1" w:themeShade="BF"/>
      <w:lang w:val="el-CY"/>
    </w:rPr>
  </w:style>
  <w:style w:type="table" w:styleId="TableGrid">
    <w:name w:val="Table Grid"/>
    <w:basedOn w:val="TableNormal"/>
    <w:uiPriority w:val="39"/>
    <w:rsid w:val="000C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7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4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4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9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9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5E7F-34D6-4976-BCB1-37F183D3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Hadjisotiris</dc:creator>
  <cp:keywords/>
  <dc:description/>
  <cp:lastModifiedBy>Elena Michaelidi</cp:lastModifiedBy>
  <cp:revision>11</cp:revision>
  <cp:lastPrinted>2021-12-22T14:55:00Z</cp:lastPrinted>
  <dcterms:created xsi:type="dcterms:W3CDTF">2025-11-19T07:06:00Z</dcterms:created>
  <dcterms:modified xsi:type="dcterms:W3CDTF">2025-11-19T08:00:00Z</dcterms:modified>
</cp:coreProperties>
</file>